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C1E315" w14:textId="301FEB91" w:rsidR="00B64072" w:rsidRPr="006F1C53" w:rsidRDefault="00B64072" w:rsidP="006F1C53">
      <w:pPr>
        <w:jc w:val="center"/>
        <w:rPr>
          <w:rFonts w:ascii="Century Gothic" w:hAnsi="Century Gothic" w:cs="Tahoma"/>
          <w:b/>
          <w:bCs/>
          <w:sz w:val="32"/>
          <w:szCs w:val="32"/>
          <w:u w:val="single"/>
        </w:rPr>
      </w:pPr>
      <w:r w:rsidRPr="006F1C53">
        <w:rPr>
          <w:rFonts w:ascii="Century Gothic" w:hAnsi="Century Gothic" w:cs="Tahoma"/>
          <w:b/>
          <w:sz w:val="32"/>
          <w:szCs w:val="32"/>
          <w:u w:val="single"/>
        </w:rPr>
        <w:t>Annexe n°</w:t>
      </w:r>
      <w:r w:rsidR="00A269E8" w:rsidRPr="006F1C53">
        <w:rPr>
          <w:rFonts w:ascii="Century Gothic" w:hAnsi="Century Gothic" w:cs="Tahoma"/>
          <w:b/>
          <w:sz w:val="32"/>
          <w:szCs w:val="32"/>
          <w:u w:val="single"/>
        </w:rPr>
        <w:t>2</w:t>
      </w:r>
      <w:r w:rsidRPr="006F1C53">
        <w:rPr>
          <w:rFonts w:ascii="Century Gothic" w:hAnsi="Century Gothic" w:cs="Tahoma"/>
          <w:b/>
          <w:sz w:val="32"/>
          <w:szCs w:val="32"/>
          <w:u w:val="single"/>
        </w:rPr>
        <w:t xml:space="preserve"> : </w:t>
      </w:r>
      <w:r w:rsidR="00A269E8" w:rsidRPr="006F1C53">
        <w:rPr>
          <w:rFonts w:ascii="Century Gothic" w:hAnsi="Century Gothic" w:cs="Tahoma"/>
          <w:b/>
          <w:bCs/>
          <w:sz w:val="32"/>
          <w:szCs w:val="32"/>
          <w:u w:val="single"/>
        </w:rPr>
        <w:t>Présentation des sites et contexte de travail</w:t>
      </w:r>
    </w:p>
    <w:p w14:paraId="56315127" w14:textId="77777777" w:rsidR="00B64072" w:rsidRPr="006F1C53" w:rsidRDefault="00B64072" w:rsidP="00B64072">
      <w:pPr>
        <w:rPr>
          <w:rFonts w:ascii="Century Gothic" w:hAnsi="Century Gothic" w:cs="Tahoma"/>
          <w:b/>
          <w:bCs/>
          <w:sz w:val="32"/>
          <w:szCs w:val="32"/>
          <w:u w:val="single"/>
        </w:rPr>
      </w:pPr>
    </w:p>
    <w:p w14:paraId="3D032BAC" w14:textId="77777777" w:rsidR="00B64072" w:rsidRPr="006F1C53" w:rsidRDefault="00B64072" w:rsidP="00B64072">
      <w:pPr>
        <w:keepNext/>
        <w:spacing w:before="320" w:after="160"/>
        <w:outlineLvl w:val="1"/>
        <w:rPr>
          <w:rFonts w:ascii="Century Gothic" w:hAnsi="Century Gothic"/>
          <w:b/>
          <w:bCs/>
          <w:sz w:val="20"/>
          <w:szCs w:val="20"/>
          <w:u w:val="single"/>
        </w:rPr>
      </w:pPr>
      <w:r w:rsidRPr="006F1C53">
        <w:rPr>
          <w:rFonts w:ascii="Century Gothic" w:hAnsi="Century Gothic"/>
          <w:b/>
          <w:bCs/>
          <w:sz w:val="20"/>
          <w:szCs w:val="20"/>
          <w:u w:val="single"/>
        </w:rPr>
        <w:t>PRESENTATION GENERALE DE L’ETABLISSEMENT UCBL</w:t>
      </w:r>
    </w:p>
    <w:p w14:paraId="3DAF2B8B" w14:textId="3A9B963F" w:rsidR="00B64072" w:rsidRPr="006F1C53" w:rsidRDefault="00B64072" w:rsidP="00B64072">
      <w:pPr>
        <w:rPr>
          <w:rFonts w:ascii="Century Gothic" w:hAnsi="Century Gothic"/>
          <w:sz w:val="20"/>
          <w:szCs w:val="20"/>
        </w:rPr>
      </w:pPr>
      <w:r w:rsidRPr="006F1C53">
        <w:rPr>
          <w:rFonts w:ascii="Century Gothic" w:hAnsi="Century Gothic"/>
          <w:sz w:val="20"/>
          <w:szCs w:val="20"/>
        </w:rPr>
        <w:t>L’université Claude Bernard Lyon 1 (UCBL) est une Université scientifique, technologique et de santé qui accueille annuellement près de 40 000 étudiants. C’est le plus grand établissement de la région Rhône-Alpes en nombre d’étudiants, près de 20 % des effectifs totaux. Elle représente le tiers des étudiants des 13 établissements de la COMUE Université de Lyon (</w:t>
      </w:r>
      <w:proofErr w:type="spellStart"/>
      <w:r w:rsidRPr="006F1C53">
        <w:rPr>
          <w:rFonts w:ascii="Century Gothic" w:hAnsi="Century Gothic"/>
          <w:sz w:val="20"/>
          <w:szCs w:val="20"/>
        </w:rPr>
        <w:t>UdL</w:t>
      </w:r>
      <w:proofErr w:type="spellEnd"/>
      <w:r w:rsidRPr="006F1C53">
        <w:rPr>
          <w:rFonts w:ascii="Century Gothic" w:hAnsi="Century Gothic"/>
          <w:sz w:val="20"/>
          <w:szCs w:val="20"/>
        </w:rPr>
        <w:t xml:space="preserve">). C’est la première université de France en santé avec environ 16 000 étudiants en médecine, maïeutique, pharmacie, odontologie et sciences paramédicales. Le secteur Sciences comptabilise près de 14 000 étudiants auxquels s’ajoutent 5 200 étudiants de l’IUT. </w:t>
      </w:r>
    </w:p>
    <w:p w14:paraId="042646F8"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L’UCBL est l’établissement de rattachement de l’Ecole Supérieure du Professorat et de l’Education (ESPE) qui assure la formation d’environ 1 400 étudiants aux métiers de l’enseignement. Enfin, près de 1 500 doctorants sont inscrits chaque année dans 12 Ecoles Doctorales rattachées à l’UCBL. </w:t>
      </w:r>
    </w:p>
    <w:p w14:paraId="4B7D58E8"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L’université Claude Bernard Lyon 1 est une université multidisciplinaire résolument tournée vers la recherche et l’innovation allant du plus fon</w:t>
      </w:r>
      <w:bookmarkStart w:id="0" w:name="_GoBack"/>
      <w:bookmarkEnd w:id="0"/>
      <w:r w:rsidRPr="006F1C53">
        <w:rPr>
          <w:rFonts w:ascii="Century Gothic" w:hAnsi="Century Gothic"/>
          <w:sz w:val="20"/>
          <w:szCs w:val="20"/>
        </w:rPr>
        <w:t xml:space="preserve">damental aux applications les plus novatrices avec de nombreux partenariats industriels et de la recherche translationnelle notamment dans le secteur médical. Elle comprend actuellement 67 unités de recherche contractualisées qui couvrent de nombreux domaines scientifiques principalement Biologie/médecine/santé (22 unités), physique (3 unités), chimie (9 unités), mathématiques (1 unités), Sciences et  technologies de l’information et de la communication (6 unités), Sciences de l’ingénieur (7 unités), sciences de la Terre et de l’Univers (2 unités), sciences humaines et humanités y compris et sciences des activités sportives (5), Sciences de la Société (2), sciences agronomique et écologique (5). </w:t>
      </w:r>
    </w:p>
    <w:p w14:paraId="22C89AB1"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L’Université Claude Bernard Lyon 1 compte 2 759 enseignants chercheurs et enseignants dont 700 exercent également en milieu hospitalier (données 2013). Près </w:t>
      </w:r>
      <w:proofErr w:type="gramStart"/>
      <w:r w:rsidRPr="006F1C53">
        <w:rPr>
          <w:rFonts w:ascii="Century Gothic" w:hAnsi="Century Gothic"/>
          <w:sz w:val="20"/>
          <w:szCs w:val="20"/>
        </w:rPr>
        <w:t>de  1</w:t>
      </w:r>
      <w:proofErr w:type="gramEnd"/>
      <w:r w:rsidRPr="006F1C53">
        <w:rPr>
          <w:rFonts w:ascii="Century Gothic" w:hAnsi="Century Gothic"/>
          <w:sz w:val="20"/>
          <w:szCs w:val="20"/>
        </w:rPr>
        <w:t xml:space="preserve"> 800 personnels de Bibliothèque, Ingénieurs, Administratifs, Techniques, et personnels de Santé et de Service (BIATSS), assurent les missions de soutien et d’appui à l’enseignement et à la recherche de l'université. Du fait des compétences élargies, depuis le 1er janvier 2009, l'Université Claude Bernard Lyon 1 fonctionne avec un budget légèrement supérieur à 400 millions d'euros.</w:t>
      </w:r>
    </w:p>
    <w:p w14:paraId="04E34D0C" w14:textId="77777777" w:rsidR="00B64072" w:rsidRPr="006F1C53" w:rsidRDefault="00B64072" w:rsidP="00B64072">
      <w:pPr>
        <w:rPr>
          <w:rFonts w:ascii="Century Gothic" w:hAnsi="Century Gothic"/>
          <w:sz w:val="20"/>
          <w:szCs w:val="20"/>
        </w:rPr>
      </w:pPr>
    </w:p>
    <w:p w14:paraId="1F0F898C" w14:textId="77777777" w:rsidR="00B64072" w:rsidRPr="006F1C53" w:rsidRDefault="00B64072" w:rsidP="00B64072">
      <w:pPr>
        <w:keepNext/>
        <w:spacing w:before="320" w:after="160"/>
        <w:outlineLvl w:val="1"/>
        <w:rPr>
          <w:rFonts w:ascii="Century Gothic" w:hAnsi="Century Gothic"/>
          <w:b/>
          <w:bCs/>
          <w:sz w:val="20"/>
          <w:szCs w:val="20"/>
          <w:u w:val="single"/>
        </w:rPr>
      </w:pPr>
      <w:r w:rsidRPr="006F1C53">
        <w:rPr>
          <w:rFonts w:ascii="Century Gothic" w:hAnsi="Century Gothic"/>
          <w:b/>
          <w:bCs/>
          <w:sz w:val="20"/>
          <w:szCs w:val="20"/>
          <w:u w:val="single"/>
        </w:rPr>
        <w:t>NOMBRE DE SITES, TERRAINS ET BATIMENTS DE L’UCBL</w:t>
      </w:r>
    </w:p>
    <w:p w14:paraId="321C7E93" w14:textId="232870FB"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Le parc immobilier de l’UCBL, synthétisé dans le tableau 4, est constitué de 152 bâtiments dont 8 préfabriqués, répartis sur 14 sites (le site de La Doua étant éclaté en 3 sous-sites, Doua Est/IUT, Doua Centre/ installations sportives, et Doua Ouest Sciences). Le Gymnase Léon Jouhaux est situé à Lyon 3ème. L’ensemble forme un patrimoine foncier de 82,5 ha. La majorité des sites sont localisés dans l’agglomération lyonnaise mais 4 sont en dehors du département du Rhône (2 dans l’Ain, 1 dans la Loire). </w:t>
      </w:r>
    </w:p>
    <w:p w14:paraId="0A30A885"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La surface hors d’œuvre nette totale des bâtiments de l’UCBL est d’environ 450 000 m2 SHON. </w:t>
      </w:r>
    </w:p>
    <w:p w14:paraId="07BDA500" w14:textId="28B238D1"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Ces 14 sites de l’UCBL peuvent être organisés en quatre grands ensembles : 4 sites de santé (Rockefeller, La Buire-Laennec, Lyon Sud, </w:t>
      </w:r>
      <w:proofErr w:type="spellStart"/>
      <w:r w:rsidRPr="006F1C53">
        <w:rPr>
          <w:rFonts w:ascii="Century Gothic" w:hAnsi="Century Gothic"/>
          <w:sz w:val="20"/>
          <w:szCs w:val="20"/>
        </w:rPr>
        <w:t>Neurocampus</w:t>
      </w:r>
      <w:proofErr w:type="spellEnd"/>
      <w:r w:rsidRPr="006F1C53">
        <w:rPr>
          <w:rFonts w:ascii="Century Gothic" w:hAnsi="Century Gothic"/>
          <w:sz w:val="20"/>
          <w:szCs w:val="20"/>
        </w:rPr>
        <w:t>), 4 sites de sciences (</w:t>
      </w:r>
      <w:proofErr w:type="spellStart"/>
      <w:r w:rsidRPr="006F1C53">
        <w:rPr>
          <w:rFonts w:ascii="Century Gothic" w:hAnsi="Century Gothic"/>
          <w:sz w:val="20"/>
          <w:szCs w:val="20"/>
        </w:rPr>
        <w:t>LyonTech</w:t>
      </w:r>
      <w:proofErr w:type="spellEnd"/>
      <w:r w:rsidRPr="006F1C53">
        <w:rPr>
          <w:rFonts w:ascii="Century Gothic" w:hAnsi="Century Gothic"/>
          <w:sz w:val="20"/>
          <w:szCs w:val="20"/>
        </w:rPr>
        <w:t>-La Doua, Gerland, Observatoire, Tamaris), 3 sites IUT (La Doua Est, Villeurbanne, Bourg en Bresse) et 4 sites de l’</w:t>
      </w:r>
      <w:r w:rsidR="00D47EB6" w:rsidRPr="006F1C53">
        <w:rPr>
          <w:rFonts w:ascii="Century Gothic" w:hAnsi="Century Gothic"/>
          <w:sz w:val="20"/>
          <w:szCs w:val="20"/>
        </w:rPr>
        <w:t>IN</w:t>
      </w:r>
      <w:r w:rsidRPr="006F1C53">
        <w:rPr>
          <w:rFonts w:ascii="Century Gothic" w:hAnsi="Century Gothic"/>
          <w:sz w:val="20"/>
          <w:szCs w:val="20"/>
        </w:rPr>
        <w:t xml:space="preserve">SPE (Croix Rousse Le Clos, Villeurbanne La Soie, Ain et Loire). D’un point de vue fonctionnel, les sites de santé et de sciences sont à la fois des lieux de recherche et de formation. Les sites de Rockefeller, La Buire-Laennec, et </w:t>
      </w:r>
      <w:proofErr w:type="spellStart"/>
      <w:r w:rsidRPr="006F1C53">
        <w:rPr>
          <w:rFonts w:ascii="Century Gothic" w:hAnsi="Century Gothic"/>
          <w:sz w:val="20"/>
          <w:szCs w:val="20"/>
        </w:rPr>
        <w:t>Neurocampus</w:t>
      </w:r>
      <w:proofErr w:type="spellEnd"/>
      <w:r w:rsidRPr="006F1C53">
        <w:rPr>
          <w:rFonts w:ascii="Century Gothic" w:hAnsi="Century Gothic"/>
          <w:sz w:val="20"/>
          <w:szCs w:val="20"/>
        </w:rPr>
        <w:t xml:space="preserve"> forment l’ensemble Santé Est qui associe des recherches à la fois en sciences et en santé avec un volet recherche clinique important en lien avec les complexes hospitaliers HEH et neuro-cardiologique. </w:t>
      </w:r>
    </w:p>
    <w:p w14:paraId="116FAAB3" w14:textId="3040B984" w:rsidR="00B64072" w:rsidRPr="006F1C53" w:rsidRDefault="00B64072" w:rsidP="00B64072">
      <w:pPr>
        <w:rPr>
          <w:rFonts w:ascii="Century Gothic" w:hAnsi="Century Gothic"/>
          <w:sz w:val="20"/>
          <w:szCs w:val="20"/>
        </w:rPr>
      </w:pPr>
      <w:r w:rsidRPr="006F1C53">
        <w:rPr>
          <w:rFonts w:ascii="Century Gothic" w:hAnsi="Century Gothic"/>
          <w:sz w:val="20"/>
          <w:szCs w:val="20"/>
        </w:rPr>
        <w:lastRenderedPageBreak/>
        <w:t xml:space="preserve"> </w:t>
      </w:r>
      <w:r w:rsidRPr="006F1C53">
        <w:rPr>
          <w:rFonts w:ascii="Century Gothic" w:hAnsi="Century Gothic"/>
          <w:noProof/>
          <w:sz w:val="20"/>
          <w:szCs w:val="20"/>
        </w:rPr>
        <w:drawing>
          <wp:inline distT="0" distB="0" distL="0" distR="0" wp14:anchorId="2EFF4334" wp14:editId="24962CC8">
            <wp:extent cx="5743575" cy="52673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43575" cy="5267325"/>
                    </a:xfrm>
                    <a:prstGeom prst="rect">
                      <a:avLst/>
                    </a:prstGeom>
                    <a:noFill/>
                    <a:ln>
                      <a:noFill/>
                    </a:ln>
                  </pic:spPr>
                </pic:pic>
              </a:graphicData>
            </a:graphic>
          </wp:inline>
        </w:drawing>
      </w:r>
    </w:p>
    <w:p w14:paraId="03F44343" w14:textId="77777777" w:rsidR="00B64072" w:rsidRPr="006F1C53" w:rsidRDefault="00B64072" w:rsidP="00B64072">
      <w:pPr>
        <w:rPr>
          <w:rFonts w:ascii="Century Gothic" w:hAnsi="Century Gothic"/>
          <w:sz w:val="20"/>
          <w:szCs w:val="20"/>
        </w:rPr>
      </w:pPr>
    </w:p>
    <w:p w14:paraId="4CC51796" w14:textId="77777777" w:rsidR="00B64072" w:rsidRPr="006F1C53" w:rsidRDefault="00B64072" w:rsidP="00B64072">
      <w:pPr>
        <w:keepNext/>
        <w:spacing w:before="320" w:after="160"/>
        <w:outlineLvl w:val="1"/>
        <w:rPr>
          <w:rFonts w:ascii="Century Gothic" w:hAnsi="Century Gothic"/>
          <w:b/>
          <w:bCs/>
          <w:sz w:val="20"/>
          <w:szCs w:val="20"/>
          <w:u w:val="single"/>
        </w:rPr>
      </w:pPr>
      <w:r w:rsidRPr="006F1C53">
        <w:rPr>
          <w:rFonts w:ascii="Century Gothic" w:hAnsi="Century Gothic"/>
          <w:b/>
          <w:bCs/>
          <w:sz w:val="20"/>
          <w:szCs w:val="20"/>
          <w:u w:val="single"/>
        </w:rPr>
        <w:t xml:space="preserve">LE CAMPUS LYONTECH-LA DOUA </w:t>
      </w:r>
    </w:p>
    <w:p w14:paraId="4026C2D0"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Ce site est le plus important de l’établissement en terme immobilier (48 % du patrimoine total). Il regroupe la plupart des services administratifs centraux dont la présidence de l’UCBL et accueille l’essentiel des activités de formation et de recherche en Biochimie, Biologie, Chimie, Mathématiques, Physique, Sciences de la terre, Sciences pour l’ingénieur, et Science des activités physiques et sportives ainsi que plus de 40 % des locaux de l’IUT dans le secteur Doua-Est. Il comprend 62 bâtiments (hors IUT) pour un total de 223 309 m2 SHON répartis sur plus de 34 hectares. </w:t>
      </w:r>
    </w:p>
    <w:p w14:paraId="2A0C7FED"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En 2017, s’achèvera la construction d’un nouveau bâtiment de laboratoire (Chimie-Bio) d’une surface de plancher de 5800 m².</w:t>
      </w:r>
    </w:p>
    <w:p w14:paraId="3C94832F"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Est intégré également à ce site l’IUT Doua Est formé de 16 bâtiments représentant 29 050 m2 SHON. </w:t>
      </w:r>
    </w:p>
    <w:p w14:paraId="287984FB"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La plupart de ces bâtiments ont été construits dans les années 1970 et une partie de ce site, vieillissant, fait l’objet d’un vaste programme de réhabilitation dans le cadre des opérations </w:t>
      </w:r>
      <w:r w:rsidRPr="006F1C53">
        <w:rPr>
          <w:rFonts w:ascii="Century Gothic" w:hAnsi="Century Gothic"/>
          <w:b/>
          <w:sz w:val="20"/>
          <w:szCs w:val="20"/>
        </w:rPr>
        <w:t>Lyon Cité Campus</w:t>
      </w:r>
      <w:r w:rsidRPr="006F1C53">
        <w:rPr>
          <w:rFonts w:ascii="Century Gothic" w:hAnsi="Century Gothic"/>
          <w:sz w:val="20"/>
          <w:szCs w:val="20"/>
        </w:rPr>
        <w:t xml:space="preserve"> (rénovation de 13 bâtiments). Cette opération de réhabilitation représente 38 % de la surface bâtie du campus </w:t>
      </w:r>
      <w:proofErr w:type="spellStart"/>
      <w:r w:rsidRPr="006F1C53">
        <w:rPr>
          <w:rFonts w:ascii="Century Gothic" w:hAnsi="Century Gothic"/>
          <w:sz w:val="20"/>
          <w:szCs w:val="20"/>
        </w:rPr>
        <w:t>LyonTech</w:t>
      </w:r>
      <w:proofErr w:type="spellEnd"/>
      <w:r w:rsidRPr="006F1C53">
        <w:rPr>
          <w:rFonts w:ascii="Century Gothic" w:hAnsi="Century Gothic"/>
          <w:sz w:val="20"/>
          <w:szCs w:val="20"/>
        </w:rPr>
        <w:t xml:space="preserve">-La Doua mais avec des interventions limitées au clos couvert, à l’enveloppe énergétique et aux mises aux normes pour la plupart d’entre eux. </w:t>
      </w:r>
    </w:p>
    <w:p w14:paraId="58EF6208"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lastRenderedPageBreak/>
        <w:t xml:space="preserve"> </w:t>
      </w:r>
    </w:p>
    <w:p w14:paraId="7290A65E"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Le gymnase Léon Jouhaux, situé près de la gare de la Part Dieu, dans le 3ème arrondissement de Lyon, est une entité isolée, considérée comme appartenant au Campus de la Doua. Le gymnase est géré par le Service </w:t>
      </w:r>
      <w:proofErr w:type="spellStart"/>
      <w:r w:rsidRPr="006F1C53">
        <w:rPr>
          <w:rFonts w:ascii="Century Gothic" w:hAnsi="Century Gothic"/>
          <w:sz w:val="20"/>
          <w:szCs w:val="20"/>
        </w:rPr>
        <w:t>InterUniversitaire</w:t>
      </w:r>
      <w:proofErr w:type="spellEnd"/>
      <w:r w:rsidRPr="006F1C53">
        <w:rPr>
          <w:rFonts w:ascii="Century Gothic" w:hAnsi="Century Gothic"/>
          <w:sz w:val="20"/>
          <w:szCs w:val="20"/>
        </w:rPr>
        <w:t xml:space="preserve"> des Activités Physiques et Sportives (SIUAPS), qui est rattaché à l’UCBL.</w:t>
      </w:r>
    </w:p>
    <w:p w14:paraId="324B5FB5" w14:textId="77777777" w:rsidR="00B64072" w:rsidRPr="006F1C53" w:rsidRDefault="00B64072" w:rsidP="00B64072">
      <w:pPr>
        <w:keepNext/>
        <w:spacing w:before="320" w:after="160"/>
        <w:outlineLvl w:val="1"/>
        <w:rPr>
          <w:rFonts w:ascii="Century Gothic" w:hAnsi="Century Gothic"/>
          <w:b/>
          <w:bCs/>
          <w:sz w:val="20"/>
          <w:szCs w:val="20"/>
          <w:u w:val="single"/>
        </w:rPr>
      </w:pPr>
      <w:r w:rsidRPr="006F1C53">
        <w:rPr>
          <w:rFonts w:ascii="Century Gothic" w:hAnsi="Century Gothic"/>
          <w:b/>
          <w:bCs/>
          <w:sz w:val="20"/>
          <w:szCs w:val="20"/>
          <w:u w:val="single"/>
        </w:rPr>
        <w:t xml:space="preserve">LES SITES DE SANTÉ EST </w:t>
      </w:r>
    </w:p>
    <w:p w14:paraId="10A36A77"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Les sites de Santé Est comprennent les deux domaines de Rockefeller et de La Buire-Laennec distants de quelques centaines de mètres auxquels s’ajoutent les bâtiments du </w:t>
      </w:r>
      <w:proofErr w:type="spellStart"/>
      <w:r w:rsidRPr="006F1C53">
        <w:rPr>
          <w:rFonts w:ascii="Century Gothic" w:hAnsi="Century Gothic"/>
          <w:sz w:val="20"/>
          <w:szCs w:val="20"/>
        </w:rPr>
        <w:t>Neurocampus</w:t>
      </w:r>
      <w:proofErr w:type="spellEnd"/>
      <w:r w:rsidRPr="006F1C53">
        <w:rPr>
          <w:rFonts w:ascii="Century Gothic" w:hAnsi="Century Gothic"/>
          <w:sz w:val="20"/>
          <w:szCs w:val="20"/>
        </w:rPr>
        <w:t xml:space="preserve"> qui sera construit en 2018 sur le site de l’hôpital du Vinatier. </w:t>
      </w:r>
    </w:p>
    <w:p w14:paraId="6838042F"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La présence de nombreux hôpitaux à proximité (Édouard Herriot, Neuro-Cardio, Hôpital Femme-Mère-Enfant, Vinatier) est indispensable pour la formation dans les domaines de la santé et permet une collaboration nécessaire et efficace entre l’université et l’hôpital. </w:t>
      </w:r>
    </w:p>
    <w:p w14:paraId="48057EAD" w14:textId="77777777" w:rsidR="00B64072" w:rsidRPr="006F1C53" w:rsidRDefault="00B64072" w:rsidP="00B64072">
      <w:pPr>
        <w:rPr>
          <w:rFonts w:ascii="Century Gothic" w:hAnsi="Century Gothic"/>
          <w:sz w:val="20"/>
          <w:szCs w:val="20"/>
        </w:rPr>
      </w:pPr>
    </w:p>
    <w:p w14:paraId="15D99981"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Le domaine de Rockefeller est le site historique de la faculté de médecine et de pharmacie de Lyon. Il constitue le plus vaste ensemble de santé de l’UCBL avec 6 bâtiments d’une surface hors d’œuvre nette totale de 62 629 m2. </w:t>
      </w:r>
    </w:p>
    <w:p w14:paraId="57E2977E"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Parmi ces bâtiments, le bâtiment principal de Rockefeller, construit en 1930, occupe une surface de plus de 50 000 m2 SHON (c’est le plus grand bâtiment du patrimoine de l’UCBL). Il se situe dans le périmètre de protection des abords d’un monument historique, l’hôpital Edouard Herriot et fait l’objet depuis 2014 d’importants travaux de requalification.</w:t>
      </w:r>
    </w:p>
    <w:p w14:paraId="2ADAAE5E"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Le site comprend aussi un restaurant universitaire et un bâtiment annexe d’enseignement construits en 2009. </w:t>
      </w:r>
    </w:p>
    <w:p w14:paraId="22600DB6" w14:textId="77777777" w:rsidR="00B64072" w:rsidRPr="006F1C53" w:rsidRDefault="00B64072" w:rsidP="00B64072">
      <w:pPr>
        <w:rPr>
          <w:rFonts w:ascii="Century Gothic" w:hAnsi="Century Gothic"/>
          <w:sz w:val="20"/>
          <w:szCs w:val="20"/>
        </w:rPr>
      </w:pPr>
    </w:p>
    <w:p w14:paraId="59FAD67B"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Le domaine de la Buire (6 bâtiments, 31 611 m2 SHON) accueille des locaux d’enseignement de l’UFR de médecine de Lyon-Est (bâtiment Laennec A), des laboratoires de recherche biomédicale regroupés au sein d’un IFR (bâtiment Laennec B), et les locaux de l’UFR d’odontologie. Il bénéficie également de la présence d’un gymnase (Halle 3D).</w:t>
      </w:r>
    </w:p>
    <w:p w14:paraId="070324F3" w14:textId="77777777" w:rsidR="00B64072" w:rsidRPr="006F1C53" w:rsidRDefault="00B64072" w:rsidP="00B64072">
      <w:pPr>
        <w:rPr>
          <w:rFonts w:ascii="Century Gothic" w:hAnsi="Century Gothic"/>
          <w:sz w:val="20"/>
          <w:szCs w:val="20"/>
        </w:rPr>
      </w:pPr>
    </w:p>
    <w:p w14:paraId="1EAD1FD9" w14:textId="77777777" w:rsidR="00B64072" w:rsidRPr="006F1C53" w:rsidRDefault="00B64072" w:rsidP="00B64072">
      <w:pPr>
        <w:keepNext/>
        <w:spacing w:before="320" w:after="160"/>
        <w:outlineLvl w:val="1"/>
        <w:rPr>
          <w:rFonts w:ascii="Century Gothic" w:hAnsi="Century Gothic"/>
          <w:b/>
          <w:bCs/>
          <w:sz w:val="20"/>
          <w:szCs w:val="20"/>
          <w:u w:val="single"/>
        </w:rPr>
      </w:pPr>
      <w:r w:rsidRPr="006F1C53">
        <w:rPr>
          <w:rFonts w:ascii="Century Gothic" w:hAnsi="Century Gothic"/>
          <w:b/>
          <w:bCs/>
          <w:sz w:val="20"/>
          <w:szCs w:val="20"/>
          <w:u w:val="single"/>
        </w:rPr>
        <w:t xml:space="preserve">LE CAMPUS DE LYON SUD-CHARLES MÉRIEUX </w:t>
      </w:r>
    </w:p>
    <w:p w14:paraId="72AB89B1"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Le site Lyon Sud est constitué de la faculté de médecine et de maïeutique implantée au sein du domaine des HCL du CHU Lyon Sud qui héberge des laboratoires de recherche médicale. Six bâtiments (8 552 m2 SHON) composent le campus de Lyon Sud. </w:t>
      </w:r>
    </w:p>
    <w:p w14:paraId="39CE3E8B" w14:textId="4F3155EA"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Ce site fait l’objet d’un partenariat public privé dans le cadre du projet Lyon Cité Campus. Les travaux de construction, qui se sont achevés en 2015 visaient une extension conséquente en locaux (2 nouveaux </w:t>
      </w:r>
      <w:r w:rsidR="00796739" w:rsidRPr="006F1C53">
        <w:rPr>
          <w:rFonts w:ascii="Century Gothic" w:hAnsi="Century Gothic"/>
          <w:sz w:val="20"/>
          <w:szCs w:val="20"/>
        </w:rPr>
        <w:t xml:space="preserve">amphithéâtres </w:t>
      </w:r>
      <w:r w:rsidRPr="006F1C53">
        <w:rPr>
          <w:rFonts w:ascii="Century Gothic" w:hAnsi="Century Gothic"/>
          <w:sz w:val="20"/>
          <w:szCs w:val="20"/>
        </w:rPr>
        <w:t>+ un bâtiment administratif) permettant d’accueillir selon les normes en vigueur et dans de bonnes conditions les effectifs étudiants en médecine et maïeutique.</w:t>
      </w:r>
    </w:p>
    <w:p w14:paraId="38421C0F"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  </w:t>
      </w:r>
    </w:p>
    <w:p w14:paraId="5B3B42D0" w14:textId="77777777" w:rsidR="00B64072" w:rsidRPr="006F1C53" w:rsidRDefault="00B64072" w:rsidP="00B64072">
      <w:pPr>
        <w:rPr>
          <w:rFonts w:ascii="Century Gothic" w:hAnsi="Century Gothic"/>
          <w:b/>
          <w:bCs/>
          <w:sz w:val="20"/>
          <w:szCs w:val="20"/>
          <w:u w:val="single"/>
        </w:rPr>
      </w:pPr>
      <w:r w:rsidRPr="006F1C53">
        <w:rPr>
          <w:rFonts w:ascii="Century Gothic" w:hAnsi="Century Gothic"/>
          <w:b/>
          <w:bCs/>
          <w:sz w:val="20"/>
          <w:szCs w:val="20"/>
          <w:u w:val="single"/>
        </w:rPr>
        <w:t xml:space="preserve">LE SITE DE GERLAND </w:t>
      </w:r>
    </w:p>
    <w:p w14:paraId="0B7F1DD3"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Le site de Gerland a été créé en 2001 par la construction d’un bâtiment recherche et d’un bâtiment enseignement marquant la volonté de l’université de s’implanter au sein du quartier Lyon </w:t>
      </w:r>
      <w:proofErr w:type="spellStart"/>
      <w:r w:rsidRPr="006F1C53">
        <w:rPr>
          <w:rFonts w:ascii="Century Gothic" w:hAnsi="Century Gothic"/>
          <w:sz w:val="20"/>
          <w:szCs w:val="20"/>
        </w:rPr>
        <w:t>Biopole</w:t>
      </w:r>
      <w:proofErr w:type="spellEnd"/>
      <w:r w:rsidRPr="006F1C53">
        <w:rPr>
          <w:rFonts w:ascii="Century Gothic" w:hAnsi="Century Gothic"/>
          <w:sz w:val="20"/>
          <w:szCs w:val="20"/>
        </w:rPr>
        <w:t xml:space="preserve"> avec l’infectiologie comme thématique dominante.  Il accueille des laboratoires de recherche biomédicale et une école d’actuaires (ISFA). </w:t>
      </w:r>
    </w:p>
    <w:p w14:paraId="26A7EF96"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   </w:t>
      </w:r>
    </w:p>
    <w:p w14:paraId="139F0F5B" w14:textId="77777777" w:rsidR="00B64072" w:rsidRPr="006F1C53" w:rsidRDefault="00B64072" w:rsidP="00B64072">
      <w:pPr>
        <w:rPr>
          <w:rFonts w:ascii="Century Gothic" w:hAnsi="Century Gothic"/>
          <w:b/>
          <w:bCs/>
          <w:sz w:val="20"/>
          <w:szCs w:val="20"/>
          <w:u w:val="single"/>
        </w:rPr>
      </w:pPr>
      <w:r w:rsidRPr="006F1C53">
        <w:rPr>
          <w:rFonts w:ascii="Century Gothic" w:hAnsi="Century Gothic"/>
          <w:b/>
          <w:bCs/>
          <w:sz w:val="20"/>
          <w:szCs w:val="20"/>
          <w:u w:val="single"/>
        </w:rPr>
        <w:t xml:space="preserve">LES SITES DE L’IUT  </w:t>
      </w:r>
    </w:p>
    <w:p w14:paraId="581CE2EF"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L’IUT est implanté sur 3 sites à Villeurbanne la Doua Est, Villeurbanne Gratte-Ciel et Bourg-en-Bresse. L’ensemble est formé de 27 bâtiments et représente 70 451 m2 SHON. </w:t>
      </w:r>
    </w:p>
    <w:p w14:paraId="673AD299" w14:textId="0C4CC2F2" w:rsidR="00B64072" w:rsidRPr="006F1C53" w:rsidRDefault="00B64072" w:rsidP="00B64072">
      <w:pPr>
        <w:rPr>
          <w:rFonts w:ascii="Century Gothic" w:hAnsi="Century Gothic"/>
          <w:sz w:val="20"/>
          <w:szCs w:val="20"/>
        </w:rPr>
      </w:pPr>
      <w:r w:rsidRPr="006F1C53">
        <w:rPr>
          <w:rFonts w:ascii="Century Gothic" w:hAnsi="Century Gothic"/>
          <w:sz w:val="20"/>
          <w:szCs w:val="20"/>
        </w:rPr>
        <w:lastRenderedPageBreak/>
        <w:t xml:space="preserve">Son activité essentielle est l’enseignement (plus de 5 000 étudiants, 52 DUT, 13 DU et 39 </w:t>
      </w:r>
      <w:proofErr w:type="spellStart"/>
      <w:r w:rsidRPr="006F1C53">
        <w:rPr>
          <w:rFonts w:ascii="Century Gothic" w:hAnsi="Century Gothic"/>
          <w:sz w:val="20"/>
          <w:szCs w:val="20"/>
        </w:rPr>
        <w:t>li-cences</w:t>
      </w:r>
      <w:proofErr w:type="spellEnd"/>
      <w:r w:rsidRPr="006F1C53">
        <w:rPr>
          <w:rFonts w:ascii="Century Gothic" w:hAnsi="Century Gothic"/>
          <w:sz w:val="20"/>
          <w:szCs w:val="20"/>
        </w:rPr>
        <w:t xml:space="preserve"> professionnelles).  La répartition de cette activité sur les trois sites est la suivante : </w:t>
      </w:r>
    </w:p>
    <w:p w14:paraId="56AE2760" w14:textId="77777777" w:rsidR="00B64072" w:rsidRPr="006F1C53" w:rsidRDefault="00B64072" w:rsidP="00B64072">
      <w:pPr>
        <w:numPr>
          <w:ilvl w:val="0"/>
          <w:numId w:val="1"/>
        </w:numPr>
        <w:rPr>
          <w:rFonts w:ascii="Century Gothic" w:hAnsi="Century Gothic"/>
          <w:sz w:val="20"/>
          <w:szCs w:val="20"/>
        </w:rPr>
      </w:pPr>
      <w:r w:rsidRPr="006F1C53">
        <w:rPr>
          <w:rFonts w:ascii="Century Gothic" w:hAnsi="Century Gothic"/>
          <w:sz w:val="20"/>
          <w:szCs w:val="20"/>
        </w:rPr>
        <w:t>Bourg-en-Bresse (Génie Biologique, GTE, Informatique et des groupes du département GEA qui dépendent de Villeurbanne Doua),</w:t>
      </w:r>
    </w:p>
    <w:p w14:paraId="72296803" w14:textId="77777777" w:rsidR="00B64072" w:rsidRPr="006F1C53" w:rsidRDefault="00B64072" w:rsidP="00B64072">
      <w:pPr>
        <w:numPr>
          <w:ilvl w:val="0"/>
          <w:numId w:val="1"/>
        </w:numPr>
        <w:rPr>
          <w:rFonts w:ascii="Century Gothic" w:hAnsi="Century Gothic"/>
          <w:sz w:val="20"/>
          <w:szCs w:val="20"/>
        </w:rPr>
      </w:pPr>
      <w:r w:rsidRPr="006F1C53">
        <w:rPr>
          <w:rFonts w:ascii="Century Gothic" w:hAnsi="Century Gothic"/>
          <w:sz w:val="20"/>
          <w:szCs w:val="20"/>
        </w:rPr>
        <w:t>Villeurbanne Doua (Chimie, Génie Biologique, Génie Civil et Construction Durable, Génie Chimique - Génie des Procédés, GEA et Informatique),</w:t>
      </w:r>
    </w:p>
    <w:p w14:paraId="398828A3" w14:textId="77777777" w:rsidR="00B64072" w:rsidRPr="006F1C53" w:rsidRDefault="00B64072" w:rsidP="00B64072">
      <w:pPr>
        <w:numPr>
          <w:ilvl w:val="0"/>
          <w:numId w:val="1"/>
        </w:numPr>
        <w:rPr>
          <w:rFonts w:ascii="Century Gothic" w:hAnsi="Century Gothic"/>
          <w:sz w:val="20"/>
          <w:szCs w:val="20"/>
        </w:rPr>
      </w:pPr>
      <w:r w:rsidRPr="006F1C53">
        <w:rPr>
          <w:rFonts w:ascii="Century Gothic" w:hAnsi="Century Gothic"/>
          <w:sz w:val="20"/>
          <w:szCs w:val="20"/>
        </w:rPr>
        <w:t>Villeurbanne Gratte-Ciel (TC, GMP, GIM, GEII).</w:t>
      </w:r>
    </w:p>
    <w:p w14:paraId="378BBE45" w14:textId="77777777" w:rsidR="00B64072" w:rsidRPr="006F1C53" w:rsidRDefault="00B64072" w:rsidP="00B64072">
      <w:pPr>
        <w:keepNext/>
        <w:spacing w:before="320" w:after="160"/>
        <w:outlineLvl w:val="1"/>
        <w:rPr>
          <w:rFonts w:ascii="Century Gothic" w:hAnsi="Century Gothic"/>
          <w:b/>
          <w:bCs/>
          <w:sz w:val="20"/>
          <w:szCs w:val="20"/>
          <w:u w:val="single"/>
        </w:rPr>
      </w:pPr>
      <w:r w:rsidRPr="006F1C53">
        <w:rPr>
          <w:rFonts w:ascii="Century Gothic" w:hAnsi="Century Gothic"/>
          <w:b/>
          <w:bCs/>
          <w:sz w:val="20"/>
          <w:szCs w:val="20"/>
          <w:u w:val="single"/>
        </w:rPr>
        <w:t xml:space="preserve">LE SITE DE L’OBSERVATOIRE À SAINT-GENIS LAVAL </w:t>
      </w:r>
    </w:p>
    <w:p w14:paraId="070F3ABB" w14:textId="77777777" w:rsidR="00B64072" w:rsidRPr="006F1C53" w:rsidRDefault="00B64072" w:rsidP="00B64072">
      <w:pPr>
        <w:rPr>
          <w:rFonts w:ascii="Century Gothic" w:hAnsi="Century Gothic"/>
          <w:sz w:val="20"/>
          <w:szCs w:val="20"/>
        </w:rPr>
      </w:pPr>
      <w:r w:rsidRPr="006F1C53">
        <w:rPr>
          <w:rFonts w:ascii="Century Gothic" w:hAnsi="Century Gothic"/>
          <w:sz w:val="20"/>
          <w:szCs w:val="20"/>
        </w:rPr>
        <w:t xml:space="preserve">Ce site présente la particularité d’être constitué de nombreux bâtiments de faible surface (22 bâtiments pour une SHON totale de 5 918 m2). Autrefois station météorologique d’observation, le site a été cédé en 2009 par la ville de Lyon à l’État, qui l’a mis à disposition de l’UCBL par une convention d’utilisation signée en 2010. Il héberge l’Observatoire des Sciences de l’Univers (OSU) et abrite des pièces patrimoniales d’exception comme la lunette équatoriale coudée. Les bâtiments sont entourés d’un parc arboré dont certains spécimens sont classés. Le site </w:t>
      </w:r>
      <w:proofErr w:type="spellStart"/>
      <w:r w:rsidRPr="006F1C53">
        <w:rPr>
          <w:rFonts w:ascii="Century Gothic" w:hAnsi="Century Gothic"/>
          <w:sz w:val="20"/>
          <w:szCs w:val="20"/>
        </w:rPr>
        <w:t>accueille</w:t>
      </w:r>
      <w:proofErr w:type="spellEnd"/>
      <w:r w:rsidRPr="006F1C53">
        <w:rPr>
          <w:rFonts w:ascii="Century Gothic" w:hAnsi="Century Gothic"/>
          <w:sz w:val="20"/>
          <w:szCs w:val="20"/>
        </w:rPr>
        <w:t xml:space="preserve"> du public et des astronomes amateurs et joue un rôle important de diffusion des connaissances scientifiques et techniques.</w:t>
      </w:r>
    </w:p>
    <w:p w14:paraId="6E4CCD5B" w14:textId="0D90FE27" w:rsidR="00B64072" w:rsidRPr="006F1C53" w:rsidRDefault="00B64072" w:rsidP="00B64072">
      <w:pPr>
        <w:keepNext/>
        <w:spacing w:before="320" w:after="160"/>
        <w:outlineLvl w:val="1"/>
        <w:rPr>
          <w:rFonts w:ascii="Century Gothic" w:hAnsi="Century Gothic"/>
          <w:b/>
          <w:bCs/>
          <w:sz w:val="20"/>
          <w:szCs w:val="20"/>
          <w:u w:val="single"/>
        </w:rPr>
      </w:pPr>
      <w:r w:rsidRPr="006F1C53">
        <w:rPr>
          <w:rFonts w:ascii="Century Gothic" w:hAnsi="Century Gothic"/>
          <w:b/>
          <w:bCs/>
          <w:sz w:val="20"/>
          <w:szCs w:val="20"/>
          <w:u w:val="single"/>
        </w:rPr>
        <w:t>LES SITES DE L’</w:t>
      </w:r>
      <w:r w:rsidR="007C5316" w:rsidRPr="006F1C53">
        <w:rPr>
          <w:rFonts w:ascii="Century Gothic" w:hAnsi="Century Gothic"/>
          <w:b/>
          <w:bCs/>
          <w:sz w:val="20"/>
          <w:szCs w:val="20"/>
          <w:u w:val="single"/>
        </w:rPr>
        <w:t>IN</w:t>
      </w:r>
      <w:r w:rsidRPr="006F1C53">
        <w:rPr>
          <w:rFonts w:ascii="Century Gothic" w:hAnsi="Century Gothic"/>
          <w:b/>
          <w:bCs/>
          <w:sz w:val="20"/>
          <w:szCs w:val="20"/>
          <w:u w:val="single"/>
        </w:rPr>
        <w:t>SPE</w:t>
      </w:r>
    </w:p>
    <w:p w14:paraId="5A67B9EE" w14:textId="537CA639" w:rsidR="00A520B4" w:rsidRPr="006F1C53" w:rsidRDefault="00B64072" w:rsidP="00B64072">
      <w:pPr>
        <w:rPr>
          <w:rFonts w:ascii="Century Gothic" w:hAnsi="Century Gothic"/>
          <w:sz w:val="20"/>
          <w:szCs w:val="20"/>
        </w:rPr>
      </w:pPr>
      <w:r w:rsidRPr="006F1C53">
        <w:rPr>
          <w:rFonts w:ascii="Century Gothic" w:hAnsi="Century Gothic"/>
          <w:sz w:val="20"/>
          <w:szCs w:val="20"/>
        </w:rPr>
        <w:t>Les sites de l’</w:t>
      </w:r>
      <w:r w:rsidR="00364D41" w:rsidRPr="006F1C53">
        <w:rPr>
          <w:rFonts w:ascii="Century Gothic" w:hAnsi="Century Gothic"/>
          <w:sz w:val="20"/>
          <w:szCs w:val="20"/>
        </w:rPr>
        <w:t>IN</w:t>
      </w:r>
      <w:r w:rsidRPr="006F1C53">
        <w:rPr>
          <w:rFonts w:ascii="Century Gothic" w:hAnsi="Century Gothic"/>
          <w:sz w:val="20"/>
          <w:szCs w:val="20"/>
        </w:rPr>
        <w:t>SPE sont au nombre de trois : le site du Clos à Lyon Croix Rousse (17 380 m2 SHON), le site de Bourg-en-Bresse (6 919 m2 SHON) et le site de Saint-Etienne (10 572 m2 SHON). Ils comptent au total 12 bâtiments. Les sites de l’ESPE sont des biens immobiliers appartenant aux départements et faisant l’objet de conventions. Le site de Croix-Rousse a été transféré à la Métropole de Lyon au 1 janvier 2015</w:t>
      </w:r>
      <w:r w:rsidR="006F1C53">
        <w:rPr>
          <w:rFonts w:ascii="Century Gothic" w:hAnsi="Century Gothic"/>
          <w:sz w:val="20"/>
          <w:szCs w:val="20"/>
        </w:rPr>
        <w:t>.</w:t>
      </w:r>
    </w:p>
    <w:sectPr w:rsidR="00A520B4" w:rsidRPr="006F1C53">
      <w:head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110FC5" w14:textId="77777777" w:rsidR="006F1C53" w:rsidRDefault="006F1C53" w:rsidP="006F1C53">
      <w:pPr>
        <w:spacing w:after="0"/>
      </w:pPr>
      <w:r>
        <w:separator/>
      </w:r>
    </w:p>
  </w:endnote>
  <w:endnote w:type="continuationSeparator" w:id="0">
    <w:p w14:paraId="6321328B" w14:textId="77777777" w:rsidR="006F1C53" w:rsidRDefault="006F1C53" w:rsidP="006F1C5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6FB884" w14:textId="77777777" w:rsidR="006F1C53" w:rsidRDefault="006F1C53" w:rsidP="006F1C53">
      <w:pPr>
        <w:spacing w:after="0"/>
      </w:pPr>
      <w:r>
        <w:separator/>
      </w:r>
    </w:p>
  </w:footnote>
  <w:footnote w:type="continuationSeparator" w:id="0">
    <w:p w14:paraId="3A57163A" w14:textId="77777777" w:rsidR="006F1C53" w:rsidRDefault="006F1C53" w:rsidP="006F1C5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4327BC" w14:textId="15997049" w:rsidR="006F1C53" w:rsidRDefault="006F1C53">
    <w:pPr>
      <w:pStyle w:val="En-tte"/>
    </w:pPr>
    <w:r>
      <w:rPr>
        <w:noProof/>
      </w:rPr>
      <w:drawing>
        <wp:inline distT="0" distB="0" distL="0" distR="0" wp14:anchorId="3A75702B" wp14:editId="465CFEAF">
          <wp:extent cx="2305050" cy="647609"/>
          <wp:effectExtent l="0" t="0" r="0" b="635"/>
          <wp:docPr id="2" name="Image 2" descr="\\tera.univ-lyon1.fr\homepers\isaline.roberton\Bureau\Logo lo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ra.univ-lyon1.fr\homepers\isaline.roberton\Bureau\Logo lo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78323" cy="66819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4242B61"/>
    <w:multiLevelType w:val="hybridMultilevel"/>
    <w:tmpl w:val="6494E79A"/>
    <w:lvl w:ilvl="0" w:tplc="B80E99B6">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48EF"/>
    <w:rsid w:val="00076723"/>
    <w:rsid w:val="00364D41"/>
    <w:rsid w:val="005448EF"/>
    <w:rsid w:val="006F1C53"/>
    <w:rsid w:val="00796739"/>
    <w:rsid w:val="007C5316"/>
    <w:rsid w:val="00A269E8"/>
    <w:rsid w:val="00A520B4"/>
    <w:rsid w:val="00B64072"/>
    <w:rsid w:val="00D47EB6"/>
    <w:rsid w:val="00E539C0"/>
    <w:rsid w:val="00E6264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6A88C8"/>
  <w15:chartTrackingRefBased/>
  <w15:docId w15:val="{BBAEC303-5A60-492B-B58D-DFED6E8AFC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539C0"/>
    <w:pPr>
      <w:spacing w:after="60" w:line="240" w:lineRule="auto"/>
      <w:jc w:val="both"/>
    </w:pPr>
    <w:rPr>
      <w:rFonts w:ascii="Times New Roman" w:eastAsia="Times New Roman" w:hAnsi="Times New Roman" w:cs="Times New Roman"/>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6F1C53"/>
    <w:pPr>
      <w:tabs>
        <w:tab w:val="center" w:pos="4536"/>
        <w:tab w:val="right" w:pos="9072"/>
      </w:tabs>
      <w:spacing w:after="0"/>
    </w:pPr>
  </w:style>
  <w:style w:type="character" w:customStyle="1" w:styleId="En-tteCar">
    <w:name w:val="En-tête Car"/>
    <w:basedOn w:val="Policepardfaut"/>
    <w:link w:val="En-tte"/>
    <w:uiPriority w:val="99"/>
    <w:rsid w:val="006F1C53"/>
    <w:rPr>
      <w:rFonts w:ascii="Times New Roman" w:eastAsia="Times New Roman" w:hAnsi="Times New Roman" w:cs="Times New Roman"/>
      <w:sz w:val="24"/>
      <w:szCs w:val="24"/>
      <w:lang w:eastAsia="fr-FR"/>
    </w:rPr>
  </w:style>
  <w:style w:type="paragraph" w:styleId="Pieddepage">
    <w:name w:val="footer"/>
    <w:basedOn w:val="Normal"/>
    <w:link w:val="PieddepageCar"/>
    <w:uiPriority w:val="99"/>
    <w:unhideWhenUsed/>
    <w:rsid w:val="006F1C53"/>
    <w:pPr>
      <w:tabs>
        <w:tab w:val="center" w:pos="4536"/>
        <w:tab w:val="right" w:pos="9072"/>
      </w:tabs>
      <w:spacing w:after="0"/>
    </w:pPr>
  </w:style>
  <w:style w:type="character" w:customStyle="1" w:styleId="PieddepageCar">
    <w:name w:val="Pied de page Car"/>
    <w:basedOn w:val="Policepardfaut"/>
    <w:link w:val="Pieddepage"/>
    <w:uiPriority w:val="99"/>
    <w:rsid w:val="006F1C53"/>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4</Pages>
  <Words>1522</Words>
  <Characters>8372</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FULLERINGER AYMERIC</dc:creator>
  <cp:keywords/>
  <dc:description/>
  <cp:lastModifiedBy>ROBERTON ISALINE</cp:lastModifiedBy>
  <cp:revision>6</cp:revision>
  <dcterms:created xsi:type="dcterms:W3CDTF">2024-03-11T15:19:00Z</dcterms:created>
  <dcterms:modified xsi:type="dcterms:W3CDTF">2024-03-12T10:15:00Z</dcterms:modified>
</cp:coreProperties>
</file>